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4BC" w:rsidRDefault="00EF14BC" w:rsidP="00605B0E">
      <w:pPr>
        <w:tabs>
          <w:tab w:val="left" w:pos="2411"/>
          <w:tab w:val="left" w:pos="4125"/>
        </w:tabs>
        <w:jc w:val="center"/>
        <w:rPr>
          <w:rFonts w:ascii="Times New Roman" w:hAnsi="Times New Roman" w:cs="Times New Roman"/>
          <w:b/>
          <w:bCs/>
          <w:noProof/>
          <w:sz w:val="28"/>
          <w:szCs w:val="28"/>
          <w:lang w:eastAsia="ru-RU"/>
        </w:rPr>
      </w:pPr>
    </w:p>
    <w:p w:rsidR="00EF14BC" w:rsidRDefault="00EF14BC" w:rsidP="00605B0E">
      <w:pPr>
        <w:tabs>
          <w:tab w:val="left" w:pos="2411"/>
          <w:tab w:val="left" w:pos="4125"/>
        </w:tabs>
        <w:jc w:val="center"/>
        <w:rPr>
          <w:rFonts w:ascii="Times New Roman" w:hAnsi="Times New Roman" w:cs="Times New Roman"/>
          <w:b/>
          <w:bCs/>
          <w:noProof/>
          <w:sz w:val="28"/>
          <w:szCs w:val="28"/>
          <w:lang w:eastAsia="ru-RU"/>
        </w:rPr>
      </w:pPr>
    </w:p>
    <w:p w:rsidR="00EF14BC" w:rsidRDefault="00EF14BC" w:rsidP="00605B0E">
      <w:pPr>
        <w:tabs>
          <w:tab w:val="left" w:pos="2411"/>
          <w:tab w:val="left" w:pos="4125"/>
        </w:tabs>
        <w:jc w:val="center"/>
        <w:rPr>
          <w:rFonts w:ascii="Times New Roman" w:hAnsi="Times New Roman" w:cs="Times New Roman"/>
          <w:b/>
          <w:bCs/>
          <w:noProof/>
          <w:sz w:val="28"/>
          <w:szCs w:val="28"/>
          <w:lang w:eastAsia="ru-RU"/>
        </w:rPr>
      </w:pPr>
    </w:p>
    <w:p w:rsidR="00EF14BC" w:rsidRDefault="00EF14BC" w:rsidP="00605B0E">
      <w:pPr>
        <w:tabs>
          <w:tab w:val="left" w:pos="2411"/>
          <w:tab w:val="left" w:pos="4125"/>
        </w:tabs>
        <w:jc w:val="center"/>
        <w:rPr>
          <w:rFonts w:ascii="Times New Roman" w:hAnsi="Times New Roman" w:cs="Times New Roman"/>
          <w:b/>
          <w:sz w:val="24"/>
          <w:szCs w:val="24"/>
        </w:rPr>
      </w:pPr>
      <w:r>
        <w:rPr>
          <w:noProof/>
          <w:lang w:eastAsia="ru-RU"/>
        </w:rPr>
        <w:drawing>
          <wp:inline distT="0" distB="0" distL="0" distR="0">
            <wp:extent cx="5991225" cy="7772400"/>
            <wp:effectExtent l="19050" t="0" r="9525" b="0"/>
            <wp:docPr id="2" name="Рисунок 1" descr="C:\Users\Павел\AppData\Local\Microsoft\Windows\Temporary Internet Files\Content.Word\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вел\AppData\Local\Microsoft\Windows\Temporary Internet Files\Content.Word\Новый точечный рисунок.bmp"/>
                    <pic:cNvPicPr>
                      <a:picLocks noChangeAspect="1" noChangeArrowheads="1"/>
                    </pic:cNvPicPr>
                  </pic:nvPicPr>
                  <pic:blipFill>
                    <a:blip r:embed="rId6"/>
                    <a:srcRect/>
                    <a:stretch>
                      <a:fillRect/>
                    </a:stretch>
                  </pic:blipFill>
                  <pic:spPr bwMode="auto">
                    <a:xfrm>
                      <a:off x="0" y="0"/>
                      <a:ext cx="5991225" cy="7772400"/>
                    </a:xfrm>
                    <a:prstGeom prst="rect">
                      <a:avLst/>
                    </a:prstGeom>
                    <a:noFill/>
                    <a:ln w="9525">
                      <a:noFill/>
                      <a:miter lim="800000"/>
                      <a:headEnd/>
                      <a:tailEnd/>
                    </a:ln>
                  </pic:spPr>
                </pic:pic>
              </a:graphicData>
            </a:graphic>
          </wp:inline>
        </w:drawing>
      </w:r>
    </w:p>
    <w:p w:rsidR="00605B0E" w:rsidRPr="00605B0E" w:rsidRDefault="00605B0E" w:rsidP="00605B0E">
      <w:pPr>
        <w:tabs>
          <w:tab w:val="left" w:pos="2411"/>
          <w:tab w:val="left" w:pos="4125"/>
        </w:tabs>
        <w:jc w:val="center"/>
        <w:rPr>
          <w:rFonts w:ascii="Times New Roman" w:hAnsi="Times New Roman" w:cs="Times New Roman"/>
          <w:b/>
          <w:sz w:val="24"/>
          <w:szCs w:val="24"/>
        </w:rPr>
      </w:pPr>
      <w:r w:rsidRPr="00605B0E">
        <w:rPr>
          <w:rFonts w:ascii="Times New Roman" w:hAnsi="Times New Roman" w:cs="Times New Roman"/>
          <w:b/>
          <w:sz w:val="24"/>
          <w:szCs w:val="24"/>
        </w:rPr>
        <w:lastRenderedPageBreak/>
        <w:t>I. Порядок и условия осуществления перевода обучающихся</w:t>
      </w:r>
    </w:p>
    <w:p w:rsidR="00605B0E" w:rsidRDefault="00605B0E" w:rsidP="00605B0E">
      <w:pPr>
        <w:autoSpaceDE w:val="0"/>
        <w:autoSpaceDN w:val="0"/>
        <w:adjustRightInd w:val="0"/>
        <w:spacing w:after="0" w:line="240" w:lineRule="auto"/>
        <w:jc w:val="both"/>
        <w:outlineLvl w:val="0"/>
        <w:rPr>
          <w:rFonts w:ascii="Times New Roman" w:hAnsi="Times New Roman" w:cs="Times New Roman"/>
          <w:sz w:val="24"/>
          <w:szCs w:val="24"/>
        </w:rPr>
      </w:pPr>
    </w:p>
    <w:p w:rsidR="00605B0E" w:rsidRDefault="00605B0E" w:rsidP="00605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(далее - Порядок),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начального общего, основного общегои среднего общего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инициативе совершеннолетнего обучающегося или родителей </w:t>
      </w:r>
      <w:hyperlink r:id="rId7"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5"/>
      <w:bookmarkEnd w:id="0"/>
      <w:r>
        <w:rPr>
          <w:rFonts w:ascii="Times New Roman" w:hAnsi="Times New Roman" w:cs="Times New Roman"/>
          <w:sz w:val="24"/>
          <w:szCs w:val="24"/>
        </w:rPr>
        <w:t>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Действие настоящего Порядка не распространяется на специальные учебно-воспитательные образовательные организации для обучающихся с девиантным (общественно опасным) поведением и общеобразовательные организации при исправительных учреждениях уголовно-исполнительной системы.</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Перевод обучающихся не зависит от периода (времени) учебного года.</w:t>
      </w:r>
    </w:p>
    <w:p w:rsidR="00605B0E" w:rsidRDefault="00605B0E" w:rsidP="00605B0E">
      <w:pPr>
        <w:autoSpaceDE w:val="0"/>
        <w:autoSpaceDN w:val="0"/>
        <w:adjustRightInd w:val="0"/>
        <w:spacing w:after="0" w:line="240" w:lineRule="auto"/>
        <w:jc w:val="both"/>
        <w:rPr>
          <w:rFonts w:ascii="Times New Roman" w:hAnsi="Times New Roman" w:cs="Times New Roman"/>
          <w:sz w:val="24"/>
          <w:szCs w:val="24"/>
        </w:rPr>
      </w:pPr>
    </w:p>
    <w:p w:rsidR="00605B0E" w:rsidRDefault="00605B0E" w:rsidP="00605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осуществляют выбор принимающей организации;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В заявлении совершеннолетнего обучающегося или родителей </w:t>
      </w:r>
      <w:hyperlink r:id="rId8"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несовершеннолетнего обучающегося об отчислении в порядке перевода в принимающую организацию указываются: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фамилия, имя, отчество (при наличии) обучающегося;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дата рождения;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класс и профиль обучения (при наличии);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5"/>
      <w:bookmarkEnd w:id="1"/>
      <w:r>
        <w:rPr>
          <w:rFonts w:ascii="Times New Roman" w:hAnsi="Times New Roman" w:cs="Times New Roman"/>
          <w:sz w:val="24"/>
          <w:szCs w:val="24"/>
        </w:rPr>
        <w:t>8.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личное дело обучающегося;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Указанные в </w:t>
      </w:r>
      <w:hyperlink w:anchor="Par25" w:history="1">
        <w:r>
          <w:rPr>
            <w:rFonts w:ascii="Times New Roman" w:hAnsi="Times New Roman" w:cs="Times New Roman"/>
            <w:color w:val="0000FF"/>
            <w:sz w:val="24"/>
            <w:szCs w:val="24"/>
          </w:rPr>
          <w:t>пункте 8</w:t>
        </w:r>
      </w:hyperlink>
      <w:r>
        <w:rPr>
          <w:rFonts w:ascii="Times New Roman" w:hAnsi="Times New Roman" w:cs="Times New Roman"/>
          <w:sz w:val="24"/>
          <w:szCs w:val="24"/>
        </w:rPr>
        <w:t xml:space="preserve"> настоящего Порядка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605B0E" w:rsidRDefault="00605B0E" w:rsidP="00DE62F2">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10.1.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r w:rsidR="00DE62F2" w:rsidRPr="00DE62F2">
        <w:rPr>
          <w:rFonts w:ascii="Times New Roman" w:hAnsi="Times New Roman" w:cs="Times New Roman"/>
          <w:sz w:val="24"/>
          <w:szCs w:val="24"/>
        </w:rPr>
        <w:t>/</w:t>
      </w:r>
    </w:p>
    <w:p w:rsidR="00DE62F2" w:rsidRPr="001C2887" w:rsidRDefault="00DE62F2" w:rsidP="00605B0E">
      <w:pPr>
        <w:autoSpaceDE w:val="0"/>
        <w:autoSpaceDN w:val="0"/>
        <w:adjustRightInd w:val="0"/>
        <w:spacing w:after="0" w:line="240" w:lineRule="auto"/>
        <w:ind w:firstLine="540"/>
        <w:jc w:val="both"/>
        <w:rPr>
          <w:rFonts w:ascii="Times New Roman" w:hAnsi="Times New Roman" w:cs="Times New Roman"/>
          <w:sz w:val="24"/>
          <w:szCs w:val="24"/>
        </w:rPr>
      </w:pPr>
    </w:p>
    <w:p w:rsidR="00605B0E" w:rsidRDefault="00605B0E" w:rsidP="00605B0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w:t>
      </w:r>
      <w:hyperlink w:anchor="Par25" w:history="1">
        <w:r>
          <w:rPr>
            <w:rFonts w:ascii="Times New Roman" w:hAnsi="Times New Roman" w:cs="Times New Roman"/>
            <w:color w:val="0000FF"/>
            <w:sz w:val="24"/>
            <w:szCs w:val="24"/>
          </w:rPr>
          <w:t>пункте 8</w:t>
        </w:r>
      </w:hyperlink>
      <w:r>
        <w:rPr>
          <w:rFonts w:ascii="Times New Roman" w:hAnsi="Times New Roman" w:cs="Times New Roman"/>
          <w:sz w:val="24"/>
          <w:szCs w:val="24"/>
        </w:rPr>
        <w:t xml:space="preserve"> настоящего Порядка, с указанием даты зачисления и класса.</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605B0E" w:rsidRDefault="00605B0E" w:rsidP="00605B0E">
      <w:pPr>
        <w:autoSpaceDE w:val="0"/>
        <w:autoSpaceDN w:val="0"/>
        <w:adjustRightInd w:val="0"/>
        <w:spacing w:after="0" w:line="240" w:lineRule="auto"/>
        <w:jc w:val="both"/>
        <w:rPr>
          <w:rFonts w:ascii="Times New Roman" w:hAnsi="Times New Roman" w:cs="Times New Roman"/>
          <w:sz w:val="24"/>
          <w:szCs w:val="24"/>
        </w:rPr>
      </w:pPr>
    </w:p>
    <w:p w:rsidR="00605B0E" w:rsidRDefault="00605B0E" w:rsidP="00605B0E">
      <w:pPr>
        <w:autoSpaceDE w:val="0"/>
        <w:autoSpaceDN w:val="0"/>
        <w:adjustRightInd w:val="0"/>
        <w:spacing w:after="0" w:line="240" w:lineRule="auto"/>
        <w:jc w:val="center"/>
        <w:rPr>
          <w:rFonts w:ascii="Times New Roman" w:hAnsi="Times New Roman" w:cs="Times New Roman"/>
          <w:sz w:val="24"/>
          <w:szCs w:val="24"/>
        </w:rPr>
      </w:pPr>
    </w:p>
    <w:p w:rsidR="00605B0E" w:rsidRDefault="00605B0E" w:rsidP="00605B0E">
      <w:pPr>
        <w:autoSpaceDE w:val="0"/>
        <w:autoSpaceDN w:val="0"/>
        <w:adjustRightInd w:val="0"/>
        <w:spacing w:after="0" w:line="240" w:lineRule="auto"/>
        <w:ind w:firstLine="540"/>
        <w:jc w:val="both"/>
        <w:rPr>
          <w:rFonts w:ascii="Times New Roman" w:hAnsi="Times New Roman" w:cs="Times New Roman"/>
          <w:sz w:val="24"/>
          <w:szCs w:val="24"/>
        </w:rPr>
      </w:pPr>
      <w:bookmarkStart w:id="2" w:name="Par49"/>
      <w:bookmarkEnd w:id="2"/>
      <w:r>
        <w:rPr>
          <w:rFonts w:ascii="Times New Roman" w:hAnsi="Times New Roman" w:cs="Times New Roman"/>
          <w:sz w:val="24"/>
          <w:szCs w:val="24"/>
        </w:rPr>
        <w:t xml:space="preserve">13.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w:t>
      </w:r>
      <w:hyperlink w:anchor="Par5"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настоящего Порядка.</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 предстоящем переводе исходная организация в случае прекращения своей деятельности обязана уведомить совершеннолетних обучающихся, родителей </w:t>
      </w:r>
      <w:hyperlink r:id="rId9"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w:t>
      </w:r>
      <w:hyperlink w:anchor="Par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Порядка, на перевод в принимающую организацию.</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w:t>
      </w:r>
      <w:r>
        <w:rPr>
          <w:rFonts w:ascii="Times New Roman" w:hAnsi="Times New Roman" w:cs="Times New Roman"/>
          <w:sz w:val="24"/>
          <w:szCs w:val="24"/>
        </w:rPr>
        <w:lastRenderedPageBreak/>
        <w:t>нему документов к рассмотрению по существу - в течение пяти рабочих дней с момента наступления указанного случая;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Учредитель, за исключением случая, указанного в </w:t>
      </w:r>
      <w:hyperlink w:anchor="Par49" w:history="1">
        <w:r>
          <w:rPr>
            <w:rFonts w:ascii="Times New Roman" w:hAnsi="Times New Roman" w:cs="Times New Roman"/>
            <w:color w:val="0000FF"/>
            <w:sz w:val="24"/>
            <w:szCs w:val="24"/>
          </w:rPr>
          <w:t>пункте 13</w:t>
        </w:r>
      </w:hyperlink>
      <w:r>
        <w:rPr>
          <w:rFonts w:ascii="Times New Roman" w:hAnsi="Times New Roman" w:cs="Times New Roman"/>
          <w:sz w:val="24"/>
          <w:szCs w:val="24"/>
        </w:rPr>
        <w:t xml:space="preserve"> настоящего Порядка, осуществляет выбор принимающих организаций с использованием:</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16.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Исходная организация доводит до сведения обучающихся и их родителей </w:t>
      </w:r>
      <w:hyperlink r:id="rId10" w:history="1">
        <w:r>
          <w:rPr>
            <w:rFonts w:ascii="Times New Roman" w:hAnsi="Times New Roman" w:cs="Times New Roman"/>
            <w:color w:val="0000FF"/>
            <w:sz w:val="24"/>
            <w:szCs w:val="24"/>
          </w:rPr>
          <w:t>(законных представителей)</w:t>
        </w:r>
      </w:hyperlink>
      <w:r>
        <w:rPr>
          <w:rFonts w:ascii="Times New Roman" w:hAnsi="Times New Roman" w:cs="Times New Roman"/>
          <w:sz w:val="24"/>
          <w:szCs w:val="24"/>
        </w:rPr>
        <w:t xml:space="preserve">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w:t>
      </w:r>
      <w:hyperlink w:anchor="Par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После получения соответствующих письменных согласий лиц, указанных в </w:t>
      </w:r>
      <w:hyperlink w:anchor="Par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20.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w:t>
      </w:r>
      <w:hyperlink w:anchor="Par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Порядка, личные дела обучающихся.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605B0E" w:rsidRDefault="00605B0E" w:rsidP="00605B0E">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22.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w:t>
      </w:r>
      <w:hyperlink w:anchor="Par5" w:history="1">
        <w:r>
          <w:rPr>
            <w:rFonts w:ascii="Times New Roman" w:hAnsi="Times New Roman" w:cs="Times New Roman"/>
            <w:color w:val="0000FF"/>
            <w:sz w:val="24"/>
            <w:szCs w:val="24"/>
          </w:rPr>
          <w:t>пункте 2</w:t>
        </w:r>
      </w:hyperlink>
      <w:r>
        <w:rPr>
          <w:rFonts w:ascii="Times New Roman" w:hAnsi="Times New Roman" w:cs="Times New Roman"/>
          <w:sz w:val="24"/>
          <w:szCs w:val="24"/>
        </w:rPr>
        <w:t xml:space="preserve"> настоящего Порядка.</w:t>
      </w:r>
    </w:p>
    <w:p w:rsidR="00DE62F2" w:rsidRDefault="00DE62F2" w:rsidP="00605B0E">
      <w:pPr>
        <w:jc w:val="both"/>
        <w:rPr>
          <w:rFonts w:ascii="Times New Roman" w:hAnsi="Times New Roman" w:cs="Times New Roman"/>
          <w:sz w:val="24"/>
          <w:szCs w:val="24"/>
        </w:rPr>
      </w:pPr>
    </w:p>
    <w:p w:rsidR="00E9741F" w:rsidRDefault="00DE62F2" w:rsidP="00DE62F2">
      <w:pPr>
        <w:tabs>
          <w:tab w:val="left" w:pos="4200"/>
        </w:tabs>
        <w:rPr>
          <w:rFonts w:ascii="Times New Roman" w:hAnsi="Times New Roman" w:cs="Times New Roman"/>
          <w:b/>
          <w:sz w:val="24"/>
          <w:szCs w:val="24"/>
        </w:rPr>
      </w:pPr>
      <w:r w:rsidRPr="00DE62F2">
        <w:rPr>
          <w:rFonts w:ascii="Times New Roman" w:hAnsi="Times New Roman" w:cs="Times New Roman"/>
          <w:b/>
          <w:sz w:val="24"/>
          <w:szCs w:val="24"/>
          <w:lang w:val="en-US"/>
        </w:rPr>
        <w:t>II</w:t>
      </w:r>
      <w:r w:rsidRPr="004D1241">
        <w:rPr>
          <w:rFonts w:ascii="Times New Roman" w:hAnsi="Times New Roman" w:cs="Times New Roman"/>
          <w:b/>
          <w:sz w:val="24"/>
          <w:szCs w:val="24"/>
        </w:rPr>
        <w:t xml:space="preserve">. </w:t>
      </w:r>
      <w:r w:rsidRPr="00DE62F2">
        <w:rPr>
          <w:rFonts w:ascii="Times New Roman" w:hAnsi="Times New Roman" w:cs="Times New Roman"/>
          <w:b/>
          <w:sz w:val="24"/>
          <w:szCs w:val="24"/>
        </w:rPr>
        <w:t>Отчисление обучающихся</w:t>
      </w:r>
    </w:p>
    <w:p w:rsidR="00DE62F2" w:rsidRDefault="00DE62F2" w:rsidP="00DE62F2">
      <w:pPr>
        <w:tabs>
          <w:tab w:val="left" w:pos="4200"/>
        </w:tabs>
        <w:rPr>
          <w:rFonts w:ascii="Times New Roman" w:hAnsi="Times New Roman" w:cs="Times New Roman"/>
          <w:b/>
          <w:sz w:val="24"/>
          <w:szCs w:val="24"/>
        </w:rPr>
      </w:pPr>
    </w:p>
    <w:p w:rsidR="00DE62F2" w:rsidRPr="00DE62F2" w:rsidRDefault="00DE62F2" w:rsidP="00DE62F2">
      <w:pPr>
        <w:tabs>
          <w:tab w:val="left" w:pos="4200"/>
        </w:tabs>
        <w:jc w:val="both"/>
        <w:rPr>
          <w:rFonts w:ascii="Times New Roman" w:hAnsi="Times New Roman" w:cs="Times New Roman"/>
          <w:sz w:val="24"/>
          <w:szCs w:val="24"/>
        </w:rPr>
      </w:pPr>
      <w:r>
        <w:rPr>
          <w:rFonts w:ascii="Times New Roman" w:hAnsi="Times New Roman" w:cs="Times New Roman"/>
          <w:sz w:val="24"/>
          <w:szCs w:val="24"/>
        </w:rPr>
        <w:t xml:space="preserve">            1. </w:t>
      </w:r>
      <w:r w:rsidRPr="00DE62F2">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1) в связи с получением образования (завершением обучения);</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2) досрочно по основаниям, установленным частью 2 настоящей статьи.</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2. Образовательные отношения могут быть прекращены досрочно в следующих случаях:</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w:t>
      </w:r>
      <w:r w:rsidRPr="00DE62F2">
        <w:rPr>
          <w:rFonts w:ascii="Times New Roman" w:hAnsi="Times New Roman" w:cs="Times New Roman"/>
          <w:sz w:val="24"/>
          <w:szCs w:val="24"/>
        </w:rPr>
        <w:lastRenderedPageBreak/>
        <w:t>образовательную деятельность, в том числе в случае ликвидации организации, осуществляющей образовательную деятельность.</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DE62F2" w:rsidRPr="00DE62F2" w:rsidRDefault="00DE62F2" w:rsidP="00DE62F2">
      <w:pPr>
        <w:tabs>
          <w:tab w:val="left" w:pos="4200"/>
        </w:tabs>
        <w:jc w:val="both"/>
        <w:rPr>
          <w:rFonts w:ascii="Times New Roman" w:hAnsi="Times New Roman" w:cs="Times New Roman"/>
          <w:sz w:val="24"/>
          <w:szCs w:val="24"/>
        </w:rPr>
      </w:pPr>
      <w:r w:rsidRPr="00DE62F2">
        <w:rPr>
          <w:rFonts w:ascii="Times New Roman" w:hAnsi="Times New Roman" w:cs="Times New Roman"/>
          <w:sz w:val="24"/>
          <w:szCs w:val="24"/>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DE62F2" w:rsidRPr="00DE62F2" w:rsidRDefault="00DE62F2" w:rsidP="00DE62F2">
      <w:pPr>
        <w:tabs>
          <w:tab w:val="left" w:pos="4200"/>
        </w:tabs>
        <w:jc w:val="both"/>
        <w:rPr>
          <w:rFonts w:ascii="Times New Roman" w:hAnsi="Times New Roman" w:cs="Times New Roman"/>
          <w:sz w:val="24"/>
          <w:szCs w:val="24"/>
        </w:rPr>
      </w:pPr>
      <w:bookmarkStart w:id="3" w:name="_GoBack"/>
      <w:bookmarkEnd w:id="3"/>
      <w:r w:rsidRPr="00DE62F2">
        <w:rPr>
          <w:rFonts w:ascii="Times New Roman" w:hAnsi="Times New Roman" w:cs="Times New Roman"/>
          <w:sz w:val="24"/>
          <w:szCs w:val="24"/>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DE62F2" w:rsidRPr="00DE62F2" w:rsidRDefault="00DE62F2" w:rsidP="00DE62F2">
      <w:pPr>
        <w:tabs>
          <w:tab w:val="left" w:pos="4200"/>
        </w:tabs>
        <w:jc w:val="both"/>
        <w:rPr>
          <w:rFonts w:ascii="Times New Roman" w:hAnsi="Times New Roman" w:cs="Times New Roman"/>
          <w:sz w:val="24"/>
          <w:szCs w:val="24"/>
        </w:rPr>
      </w:pPr>
    </w:p>
    <w:sectPr w:rsidR="00DE62F2" w:rsidRPr="00DE62F2" w:rsidSect="00910762">
      <w:pgSz w:w="11906" w:h="16838"/>
      <w:pgMar w:top="1134" w:right="567"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90" w:rsidRDefault="007C2490" w:rsidP="00E9741F">
      <w:pPr>
        <w:spacing w:after="0" w:line="240" w:lineRule="auto"/>
      </w:pPr>
      <w:r>
        <w:separator/>
      </w:r>
    </w:p>
  </w:endnote>
  <w:endnote w:type="continuationSeparator" w:id="1">
    <w:p w:rsidR="007C2490" w:rsidRDefault="007C2490" w:rsidP="00E974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90" w:rsidRDefault="007C2490" w:rsidP="00E9741F">
      <w:pPr>
        <w:spacing w:after="0" w:line="240" w:lineRule="auto"/>
      </w:pPr>
      <w:r>
        <w:separator/>
      </w:r>
    </w:p>
  </w:footnote>
  <w:footnote w:type="continuationSeparator" w:id="1">
    <w:p w:rsidR="007C2490" w:rsidRDefault="007C2490" w:rsidP="00E9741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7DB5"/>
    <w:rsid w:val="00083C96"/>
    <w:rsid w:val="000D7DB5"/>
    <w:rsid w:val="001C2887"/>
    <w:rsid w:val="001D28E6"/>
    <w:rsid w:val="001F345B"/>
    <w:rsid w:val="00230450"/>
    <w:rsid w:val="00316222"/>
    <w:rsid w:val="004D1241"/>
    <w:rsid w:val="00605B0E"/>
    <w:rsid w:val="00660096"/>
    <w:rsid w:val="006B78DD"/>
    <w:rsid w:val="00784F3A"/>
    <w:rsid w:val="007C2490"/>
    <w:rsid w:val="007E194B"/>
    <w:rsid w:val="007F061C"/>
    <w:rsid w:val="008D555A"/>
    <w:rsid w:val="00910762"/>
    <w:rsid w:val="009E1CA7"/>
    <w:rsid w:val="00A81B3B"/>
    <w:rsid w:val="00AE3DA8"/>
    <w:rsid w:val="00B00044"/>
    <w:rsid w:val="00BA5C29"/>
    <w:rsid w:val="00BB027E"/>
    <w:rsid w:val="00CD641E"/>
    <w:rsid w:val="00D87DC2"/>
    <w:rsid w:val="00D9404D"/>
    <w:rsid w:val="00DE62F2"/>
    <w:rsid w:val="00E51FD3"/>
    <w:rsid w:val="00E52024"/>
    <w:rsid w:val="00E9741F"/>
    <w:rsid w:val="00EA367D"/>
    <w:rsid w:val="00EF14BC"/>
    <w:rsid w:val="00F02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61C"/>
  </w:style>
  <w:style w:type="paragraph" w:styleId="1">
    <w:name w:val="heading 1"/>
    <w:basedOn w:val="a"/>
    <w:link w:val="10"/>
    <w:uiPriority w:val="1"/>
    <w:qFormat/>
    <w:rsid w:val="001C2887"/>
    <w:pPr>
      <w:widowControl w:val="0"/>
      <w:autoSpaceDE w:val="0"/>
      <w:autoSpaceDN w:val="0"/>
      <w:spacing w:after="0" w:line="272" w:lineRule="exact"/>
      <w:ind w:left="853" w:hanging="39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41F"/>
  </w:style>
  <w:style w:type="paragraph" w:styleId="a5">
    <w:name w:val="footer"/>
    <w:basedOn w:val="a"/>
    <w:link w:val="a6"/>
    <w:uiPriority w:val="99"/>
    <w:unhideWhenUsed/>
    <w:rsid w:val="00E97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41F"/>
  </w:style>
  <w:style w:type="character" w:customStyle="1" w:styleId="10">
    <w:name w:val="Заголовок 1 Знак"/>
    <w:basedOn w:val="a0"/>
    <w:link w:val="1"/>
    <w:uiPriority w:val="1"/>
    <w:rsid w:val="001C2887"/>
    <w:rPr>
      <w:rFonts w:ascii="Times New Roman" w:eastAsia="Times New Roman" w:hAnsi="Times New Roman" w:cs="Times New Roman"/>
      <w:b/>
      <w:bCs/>
      <w:sz w:val="24"/>
      <w:szCs w:val="24"/>
    </w:rPr>
  </w:style>
  <w:style w:type="table" w:styleId="a7">
    <w:name w:val="Table Grid"/>
    <w:basedOn w:val="a1"/>
    <w:uiPriority w:val="59"/>
    <w:rsid w:val="001C2887"/>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AE3D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3D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1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9741F"/>
  </w:style>
  <w:style w:type="paragraph" w:styleId="a5">
    <w:name w:val="footer"/>
    <w:basedOn w:val="a"/>
    <w:link w:val="a6"/>
    <w:uiPriority w:val="99"/>
    <w:unhideWhenUsed/>
    <w:rsid w:val="00E9741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9741F"/>
  </w:style>
</w:styles>
</file>

<file path=word/webSettings.xml><?xml version="1.0" encoding="utf-8"?>
<w:webSettings xmlns:r="http://schemas.openxmlformats.org/officeDocument/2006/relationships" xmlns:w="http://schemas.openxmlformats.org/wordprocessingml/2006/main">
  <w:divs>
    <w:div w:id="1522233177">
      <w:bodyDiv w:val="1"/>
      <w:marLeft w:val="0"/>
      <w:marRight w:val="0"/>
      <w:marTop w:val="0"/>
      <w:marBottom w:val="0"/>
      <w:divBdr>
        <w:top w:val="none" w:sz="0" w:space="0" w:color="auto"/>
        <w:left w:val="none" w:sz="0" w:space="0" w:color="auto"/>
        <w:bottom w:val="none" w:sz="0" w:space="0" w:color="auto"/>
        <w:right w:val="none" w:sz="0" w:space="0" w:color="auto"/>
      </w:divBdr>
      <w:divsChild>
        <w:div w:id="400298103">
          <w:marLeft w:val="0"/>
          <w:marRight w:val="0"/>
          <w:marTop w:val="192"/>
          <w:marBottom w:val="0"/>
          <w:divBdr>
            <w:top w:val="none" w:sz="0" w:space="0" w:color="auto"/>
            <w:left w:val="none" w:sz="0" w:space="0" w:color="auto"/>
            <w:bottom w:val="none" w:sz="0" w:space="0" w:color="auto"/>
            <w:right w:val="none" w:sz="0" w:space="0" w:color="auto"/>
          </w:divBdr>
        </w:div>
        <w:div w:id="599071840">
          <w:marLeft w:val="0"/>
          <w:marRight w:val="0"/>
          <w:marTop w:val="120"/>
          <w:marBottom w:val="96"/>
          <w:divBdr>
            <w:top w:val="none" w:sz="0" w:space="0" w:color="auto"/>
            <w:left w:val="single" w:sz="24" w:space="0" w:color="CED3F1"/>
            <w:bottom w:val="none" w:sz="0" w:space="0" w:color="auto"/>
            <w:right w:val="none" w:sz="0" w:space="0" w:color="auto"/>
          </w:divBdr>
        </w:div>
        <w:div w:id="528567598">
          <w:marLeft w:val="0"/>
          <w:marRight w:val="0"/>
          <w:marTop w:val="192"/>
          <w:marBottom w:val="0"/>
          <w:divBdr>
            <w:top w:val="none" w:sz="0" w:space="0" w:color="auto"/>
            <w:left w:val="none" w:sz="0" w:space="0" w:color="auto"/>
            <w:bottom w:val="none" w:sz="0" w:space="0" w:color="auto"/>
            <w:right w:val="none" w:sz="0" w:space="0" w:color="auto"/>
          </w:divBdr>
        </w:div>
        <w:div w:id="207838176">
          <w:marLeft w:val="0"/>
          <w:marRight w:val="0"/>
          <w:marTop w:val="192"/>
          <w:marBottom w:val="0"/>
          <w:divBdr>
            <w:top w:val="none" w:sz="0" w:space="0" w:color="auto"/>
            <w:left w:val="none" w:sz="0" w:space="0" w:color="auto"/>
            <w:bottom w:val="none" w:sz="0" w:space="0" w:color="auto"/>
            <w:right w:val="none" w:sz="0" w:space="0" w:color="auto"/>
          </w:divBdr>
        </w:div>
        <w:div w:id="1266500517">
          <w:marLeft w:val="0"/>
          <w:marRight w:val="0"/>
          <w:marTop w:val="192"/>
          <w:marBottom w:val="0"/>
          <w:divBdr>
            <w:top w:val="none" w:sz="0" w:space="0" w:color="auto"/>
            <w:left w:val="none" w:sz="0" w:space="0" w:color="auto"/>
            <w:bottom w:val="none" w:sz="0" w:space="0" w:color="auto"/>
            <w:right w:val="none" w:sz="0" w:space="0" w:color="auto"/>
          </w:divBdr>
        </w:div>
        <w:div w:id="652610738">
          <w:marLeft w:val="0"/>
          <w:marRight w:val="0"/>
          <w:marTop w:val="192"/>
          <w:marBottom w:val="0"/>
          <w:divBdr>
            <w:top w:val="none" w:sz="0" w:space="0" w:color="auto"/>
            <w:left w:val="none" w:sz="0" w:space="0" w:color="auto"/>
            <w:bottom w:val="none" w:sz="0" w:space="0" w:color="auto"/>
            <w:right w:val="none" w:sz="0" w:space="0" w:color="auto"/>
          </w:divBdr>
        </w:div>
        <w:div w:id="407533087">
          <w:marLeft w:val="0"/>
          <w:marRight w:val="0"/>
          <w:marTop w:val="192"/>
          <w:marBottom w:val="0"/>
          <w:divBdr>
            <w:top w:val="none" w:sz="0" w:space="0" w:color="auto"/>
            <w:left w:val="none" w:sz="0" w:space="0" w:color="auto"/>
            <w:bottom w:val="none" w:sz="0" w:space="0" w:color="auto"/>
            <w:right w:val="none" w:sz="0" w:space="0" w:color="auto"/>
          </w:divBdr>
        </w:div>
        <w:div w:id="975640727">
          <w:marLeft w:val="0"/>
          <w:marRight w:val="0"/>
          <w:marTop w:val="192"/>
          <w:marBottom w:val="0"/>
          <w:divBdr>
            <w:top w:val="none" w:sz="0" w:space="0" w:color="auto"/>
            <w:left w:val="none" w:sz="0" w:space="0" w:color="auto"/>
            <w:bottom w:val="none" w:sz="0" w:space="0" w:color="auto"/>
            <w:right w:val="none" w:sz="0" w:space="0" w:color="auto"/>
          </w:divBdr>
        </w:div>
        <w:div w:id="1589118946">
          <w:marLeft w:val="0"/>
          <w:marRight w:val="0"/>
          <w:marTop w:val="192"/>
          <w:marBottom w:val="0"/>
          <w:divBdr>
            <w:top w:val="none" w:sz="0" w:space="0" w:color="auto"/>
            <w:left w:val="none" w:sz="0" w:space="0" w:color="auto"/>
            <w:bottom w:val="none" w:sz="0" w:space="0" w:color="auto"/>
            <w:right w:val="none" w:sz="0" w:space="0" w:color="auto"/>
          </w:divBdr>
        </w:div>
        <w:div w:id="2022393200">
          <w:marLeft w:val="0"/>
          <w:marRight w:val="0"/>
          <w:marTop w:val="192"/>
          <w:marBottom w:val="0"/>
          <w:divBdr>
            <w:top w:val="none" w:sz="0" w:space="0" w:color="auto"/>
            <w:left w:val="none" w:sz="0" w:space="0" w:color="auto"/>
            <w:bottom w:val="none" w:sz="0" w:space="0" w:color="auto"/>
            <w:right w:val="none" w:sz="0" w:space="0" w:color="auto"/>
          </w:divBdr>
        </w:div>
        <w:div w:id="1869297528">
          <w:marLeft w:val="0"/>
          <w:marRight w:val="0"/>
          <w:marTop w:val="192"/>
          <w:marBottom w:val="0"/>
          <w:divBdr>
            <w:top w:val="none" w:sz="0" w:space="0" w:color="auto"/>
            <w:left w:val="none" w:sz="0" w:space="0" w:color="auto"/>
            <w:bottom w:val="none" w:sz="0" w:space="0" w:color="auto"/>
            <w:right w:val="none" w:sz="0" w:space="0" w:color="auto"/>
          </w:divBdr>
        </w:div>
        <w:div w:id="2130975191">
          <w:marLeft w:val="0"/>
          <w:marRight w:val="0"/>
          <w:marTop w:val="192"/>
          <w:marBottom w:val="0"/>
          <w:divBdr>
            <w:top w:val="none" w:sz="0" w:space="0" w:color="auto"/>
            <w:left w:val="none" w:sz="0" w:space="0" w:color="auto"/>
            <w:bottom w:val="none" w:sz="0" w:space="0" w:color="auto"/>
            <w:right w:val="none" w:sz="0" w:space="0" w:color="auto"/>
          </w:divBdr>
        </w:div>
      </w:divsChild>
    </w:div>
    <w:div w:id="206918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BE145ED29EB7C6FC1D5111FFA2DC02DE40E84473CAAB4E8ACA424657193DCC506E34746DEF6AB68C1039BF508A5BE78E25E414B5526ZEY4H"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32ABE145ED29EB7C6FC1D5111FFA2DC02DE40E84473CAAB4E8ACA424657193DCC506E34746DEF6AB68C1039BF508A5BE78E25E414B5526ZEY4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32ABE145ED29EB7C6FC1D5111FFA2DC02DE40E84473CAAB4E8ACA424657193DCC506E34746DEF6AB68C1039BF508A5BE78E25E414B5526ZEY4H" TargetMode="External"/><Relationship Id="rId4" Type="http://schemas.openxmlformats.org/officeDocument/2006/relationships/footnotes" Target="footnotes.xml"/><Relationship Id="rId9" Type="http://schemas.openxmlformats.org/officeDocument/2006/relationships/hyperlink" Target="consultantplus://offline/ref=32ABE145ED29EB7C6FC1D5111FFA2DC02DE40E84473CAAB4E8ACA424657193DCC506E34746DEF6AB68C1039BF508A5BE78E25E414B5526ZEY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2619</Words>
  <Characters>14931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Вячеславовна Сапронова</dc:creator>
  <cp:keywords/>
  <dc:description/>
  <cp:lastModifiedBy>Павел</cp:lastModifiedBy>
  <cp:revision>22</cp:revision>
  <cp:lastPrinted>2021-06-15T09:33:00Z</cp:lastPrinted>
  <dcterms:created xsi:type="dcterms:W3CDTF">2021-02-16T07:05:00Z</dcterms:created>
  <dcterms:modified xsi:type="dcterms:W3CDTF">2021-06-18T10:59:00Z</dcterms:modified>
</cp:coreProperties>
</file>